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257175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53"/>
        <w:gridCol w:w="1481"/>
        <w:gridCol w:w="3970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类型与形式</w:t>
            </w:r>
          </w:p>
        </w:tc>
        <w:tc>
          <w:tcPr>
            <w:tcW w:w="2329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内容构成</w:t>
            </w:r>
          </w:p>
        </w:tc>
        <w:tc>
          <w:tcPr>
            <w:tcW w:w="1126" w:type="pc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作业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0" w:type="pct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1"/>
              </w:rPr>
              <w:t>背诵古诗《咏鹅》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0" w:type="pct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2"/>
              <w:spacing w:line="276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  <w:woUserID w:val="2"/>
              </w:rPr>
              <w:t>完成《1到5的认识》练习册第8、9页。B级选做。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90" w:type="pct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3"/>
              </w:rPr>
              <w:t>熟读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3"/>
              </w:rPr>
              <w:t>书本U1P8-10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预习书本P11-13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  <w:t>亲子阅读10分钟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2"/>
              </w:rPr>
              <w:t>完成《0的认识》练习册第10页。B级选做。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2"/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熟读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书本P11-13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3"/>
              </w:rPr>
              <w:t>预习书本P14-15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1"/>
              </w:rPr>
              <w:t>1、亲子阅读10分钟，和家人分享阅读收获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2"/>
              </w:rPr>
              <w:t>复习写数学0和5。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熟读书本P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  <w:woUserID w:val="3"/>
              </w:rPr>
              <w:t>P14-15</w:t>
            </w:r>
          </w:p>
          <w:p>
            <w:pPr>
              <w:pStyle w:val="5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预习书本P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16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2"/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复习巩固第1课《a o e》</w:t>
            </w:r>
          </w:p>
          <w:p>
            <w:pPr>
              <w:pStyle w:val="2"/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"/>
              </w:rPr>
              <w:t>亲子阅读10分钟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woUserID w:val="2"/>
              </w:rPr>
              <w:t>完成《分与合（1）》练习册第11页。B级选做。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熟读书本P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16</w:t>
            </w:r>
          </w:p>
          <w:p>
            <w:pPr>
              <w:pStyle w:val="5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预习书本P1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3"/>
              </w:rPr>
              <w:t>7-19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329" w:type="pct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32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" w:type="pct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329" w:type="pct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26" w:type="pc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  <w:bookmarkEnd w:id="0"/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9F0C0"/>
    <w:multiLevelType w:val="singleLevel"/>
    <w:tmpl w:val="CDB9F0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FBD29F"/>
    <w:multiLevelType w:val="singleLevel"/>
    <w:tmpl w:val="E5FBD29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7FEE424"/>
    <w:multiLevelType w:val="singleLevel"/>
    <w:tmpl w:val="E7FEE42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DB9505A"/>
    <w:multiLevelType w:val="singleLevel"/>
    <w:tmpl w:val="FDB950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A9ED7A6"/>
    <w:multiLevelType w:val="singleLevel"/>
    <w:tmpl w:val="3A9ED7A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FBB3765"/>
    <w:multiLevelType w:val="singleLevel"/>
    <w:tmpl w:val="6FBB376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4B70F51"/>
    <w:multiLevelType w:val="singleLevel"/>
    <w:tmpl w:val="74B70F51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53685"/>
    <w:rsid w:val="00072BC7"/>
    <w:rsid w:val="000858CF"/>
    <w:rsid w:val="000B4319"/>
    <w:rsid w:val="00147BBA"/>
    <w:rsid w:val="00166831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D6C91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37D6D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A3D2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7B2E88"/>
    <w:rsid w:val="3FD31E11"/>
    <w:rsid w:val="3FF71C39"/>
    <w:rsid w:val="401D3492"/>
    <w:rsid w:val="40D91338"/>
    <w:rsid w:val="41901EA3"/>
    <w:rsid w:val="450A2BA8"/>
    <w:rsid w:val="46FD7FC1"/>
    <w:rsid w:val="4A477D4A"/>
    <w:rsid w:val="4E960323"/>
    <w:rsid w:val="4F0A3A2A"/>
    <w:rsid w:val="4F764C71"/>
    <w:rsid w:val="51FA1DA8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7FF12AE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7E455D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BE96D7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AFFF05F"/>
    <w:rsid w:val="FB39AB51"/>
    <w:rsid w:val="FB6772F1"/>
    <w:rsid w:val="FBC72788"/>
    <w:rsid w:val="FBFFA7EC"/>
    <w:rsid w:val="FC6618E3"/>
    <w:rsid w:val="FD7F3EC0"/>
    <w:rsid w:val="FDDF05CF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D9E0BF"/>
    <w:rsid w:val="FFEB14FF"/>
    <w:rsid w:val="FFED68B0"/>
    <w:rsid w:val="FFEDF03A"/>
    <w:rsid w:val="FFEF0F74"/>
    <w:rsid w:val="FFEFF88B"/>
    <w:rsid w:val="FFF38196"/>
    <w:rsid w:val="FFF76BA0"/>
    <w:rsid w:val="FFFA66F2"/>
    <w:rsid w:val="FFFC8DA3"/>
    <w:rsid w:val="FFFD437D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2021-10-08T15:27:00Z</dcterms:created>
  <dc:creator>R</dc:creator>
  <cp:lastModifiedBy>user</cp:lastModifiedBy>
  <dcterms:modified xsi:type="dcterms:W3CDTF">2025-09-22T11:13:48Z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