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1"/>
              </w:rPr>
              <w:t>22课词语默写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预习23课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圆与角的复习1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1.背诵梳理M4U</w:t>
            </w:r>
            <w:r>
              <w:rPr>
                <w:szCs w:val="21"/>
                <w:woUserID w:val="2"/>
              </w:rPr>
              <w:t>2</w:t>
            </w:r>
            <w:r>
              <w:rPr>
                <w:szCs w:val="21"/>
              </w:rPr>
              <w:t>learn the sounds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23课写字本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  <w:woUserID w:val="1"/>
              </w:rPr>
              <w:t>配套练习册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圆与角的复习2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1.背诵梳理M4U</w:t>
            </w:r>
            <w:r>
              <w:rPr>
                <w:szCs w:val="21"/>
                <w:woUserID w:val="2"/>
              </w:rPr>
              <w:t>2</w:t>
            </w:r>
            <w:r>
              <w:rPr>
                <w:szCs w:val="21"/>
              </w:rPr>
              <w:t>say and act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1.自己查找资料，说一位历史人物的爱国故事</w:t>
            </w:r>
          </w:p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2.预习24课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观察生活中用圆画出来的美丽图案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背默梳理M4U</w:t>
            </w:r>
            <w:r>
              <w:rPr>
                <w:szCs w:val="21"/>
                <w:woUserID w:val="2"/>
              </w:rPr>
              <w:t>2</w:t>
            </w:r>
            <w:r>
              <w:rPr>
                <w:szCs w:val="21"/>
              </w:rPr>
              <w:t>look and learn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1. 2</w:t>
            </w:r>
            <w:r>
              <w:rPr>
                <w:szCs w:val="21"/>
                <w:woUserID w:val="1"/>
              </w:rPr>
              <w:t>4课写字本、练习册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选做：朗读《延安，我把你追寻》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1.配套练习：</w:t>
            </w:r>
            <w:r>
              <w:rPr>
                <w:rFonts w:hint="eastAsia"/>
                <w:szCs w:val="21"/>
              </w:rPr>
              <w:t>相等的角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任意画一个用圆组成的美丽图案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1.背默梳理M4U</w:t>
            </w:r>
            <w:r>
              <w:rPr>
                <w:szCs w:val="21"/>
                <w:woUserID w:val="2"/>
              </w:rPr>
              <w:t>2</w:t>
            </w:r>
            <w:r>
              <w:rPr>
                <w:szCs w:val="21"/>
              </w:rPr>
              <w:t xml:space="preserve"> 全部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2.选做：复述故事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  <w:woUserID w:val="1"/>
              </w:rPr>
              <w:t>语文园地抄写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  <w:woUserID w:val="1"/>
              </w:rPr>
              <w:t>写一封信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1、补充练习16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1补充练习1</w:t>
            </w:r>
            <w:r>
              <w:rPr>
                <w:szCs w:val="21"/>
                <w:woUserID w:val="2"/>
              </w:rPr>
              <w:t>6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B28E7"/>
    <w:rsid w:val="00604D1E"/>
    <w:rsid w:val="00655359"/>
    <w:rsid w:val="00665C61"/>
    <w:rsid w:val="00683B24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BD165D9"/>
    <w:rsid w:val="2E7F5F55"/>
    <w:rsid w:val="336C0637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ADC5037"/>
    <w:rsid w:val="6BDBE20C"/>
    <w:rsid w:val="6D478A4B"/>
    <w:rsid w:val="6FC7FC6A"/>
    <w:rsid w:val="75AFA49C"/>
    <w:rsid w:val="75DA6DB1"/>
    <w:rsid w:val="771FCA90"/>
    <w:rsid w:val="77FF5030"/>
    <w:rsid w:val="7BDB6DFE"/>
    <w:rsid w:val="7CF652D1"/>
    <w:rsid w:val="7CFECC0C"/>
    <w:rsid w:val="7DDEB58D"/>
    <w:rsid w:val="7DF61A75"/>
    <w:rsid w:val="7DFB5C49"/>
    <w:rsid w:val="7E7FAA85"/>
    <w:rsid w:val="7F875C01"/>
    <w:rsid w:val="7FDB7F14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7FBB909"/>
    <w:rsid w:val="E7FF0C7B"/>
    <w:rsid w:val="EE33C792"/>
    <w:rsid w:val="EF3DABEE"/>
    <w:rsid w:val="EF5E354C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101</Words>
  <Characters>578</Characters>
  <Lines>4</Lines>
  <Paragraphs>1</Paragraphs>
  <TotalTime>17</TotalTime>
  <ScaleCrop>false</ScaleCrop>
  <LinksUpToDate>false</LinksUpToDate>
  <CharactersWithSpaces>678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2022-09-21T02:33:00Z</dcterms:created>
  <dc:creator>R</dc:creator>
  <cp:lastModifiedBy>user</cp:lastModifiedBy>
  <dcterms:modified xsi:type="dcterms:W3CDTF">2022-12-16T16:36:22Z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